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485C14" w:rsidRDefault="001D264E" w:rsidP="002864BF">
            <w:pPr>
              <w:pStyle w:val="ab"/>
              <w:rPr>
                <w:sz w:val="28"/>
                <w:szCs w:val="28"/>
              </w:rPr>
            </w:pPr>
          </w:p>
        </w:tc>
        <w:tc>
          <w:tcPr>
            <w:tcW w:w="5245" w:type="dxa"/>
          </w:tcPr>
          <w:p w:rsidR="002C5567" w:rsidRPr="00485C14" w:rsidRDefault="00A36710" w:rsidP="008231A1">
            <w:pPr>
              <w:pStyle w:val="ab"/>
              <w:rPr>
                <w:sz w:val="28"/>
                <w:szCs w:val="28"/>
              </w:rPr>
            </w:pPr>
            <w:r w:rsidRPr="00485C14">
              <w:rPr>
                <w:sz w:val="28"/>
                <w:szCs w:val="28"/>
              </w:rPr>
              <w:t>Утверждена приказом</w:t>
            </w:r>
            <w:r w:rsidR="00B916C5" w:rsidRPr="00485C14">
              <w:rPr>
                <w:sz w:val="28"/>
                <w:szCs w:val="28"/>
              </w:rPr>
              <w:t xml:space="preserve"> </w:t>
            </w:r>
            <w:r w:rsidR="002C5567" w:rsidRPr="00485C14">
              <w:rPr>
                <w:sz w:val="28"/>
                <w:szCs w:val="28"/>
              </w:rPr>
              <w:t>Директора</w:t>
            </w:r>
          </w:p>
          <w:p w:rsidR="00000B0A" w:rsidRPr="00485C14" w:rsidRDefault="008231A1" w:rsidP="008231A1">
            <w:pPr>
              <w:pStyle w:val="ab"/>
              <w:rPr>
                <w:sz w:val="28"/>
                <w:szCs w:val="28"/>
              </w:rPr>
            </w:pPr>
            <w:r w:rsidRPr="00485C14">
              <w:rPr>
                <w:sz w:val="28"/>
                <w:szCs w:val="28"/>
              </w:rPr>
              <w:t>Г</w:t>
            </w:r>
            <w:r w:rsidR="00E4313A" w:rsidRPr="00485C14">
              <w:rPr>
                <w:sz w:val="28"/>
                <w:szCs w:val="28"/>
              </w:rPr>
              <w:t>КП</w:t>
            </w:r>
            <w:r w:rsidR="00B916C5" w:rsidRPr="00485C14">
              <w:rPr>
                <w:sz w:val="28"/>
                <w:szCs w:val="28"/>
              </w:rPr>
              <w:t xml:space="preserve"> </w:t>
            </w:r>
            <w:r w:rsidR="00E4313A" w:rsidRPr="00485C14">
              <w:rPr>
                <w:sz w:val="28"/>
                <w:szCs w:val="28"/>
              </w:rPr>
              <w:t xml:space="preserve">на ПХВ </w:t>
            </w:r>
            <w:r w:rsidRPr="00485C14">
              <w:rPr>
                <w:sz w:val="28"/>
                <w:szCs w:val="28"/>
              </w:rPr>
              <w:t>«</w:t>
            </w:r>
            <w:r w:rsidR="002C5567" w:rsidRPr="00485C14">
              <w:rPr>
                <w:sz w:val="28"/>
                <w:szCs w:val="28"/>
              </w:rPr>
              <w:t>Многопрофильный медицинский центр</w:t>
            </w:r>
            <w:r w:rsidRPr="00485C14">
              <w:rPr>
                <w:sz w:val="28"/>
                <w:szCs w:val="28"/>
              </w:rPr>
              <w:t xml:space="preserve">» </w:t>
            </w:r>
          </w:p>
          <w:p w:rsidR="00000B0A" w:rsidRPr="00485C14" w:rsidRDefault="008231A1" w:rsidP="00000B0A">
            <w:pPr>
              <w:pStyle w:val="ab"/>
              <w:rPr>
                <w:sz w:val="28"/>
                <w:szCs w:val="28"/>
                <w:lang w:val="kk-KZ"/>
              </w:rPr>
            </w:pPr>
            <w:r w:rsidRPr="00485C14">
              <w:rPr>
                <w:sz w:val="28"/>
                <w:szCs w:val="28"/>
              </w:rPr>
              <w:t xml:space="preserve">акимата </w:t>
            </w:r>
            <w:r w:rsidR="008271DD" w:rsidRPr="00485C14">
              <w:rPr>
                <w:sz w:val="28"/>
                <w:szCs w:val="28"/>
              </w:rPr>
              <w:t>города Аст</w:t>
            </w:r>
            <w:bookmarkStart w:id="0" w:name="_GoBack"/>
            <w:bookmarkEnd w:id="0"/>
            <w:r w:rsidR="008271DD" w:rsidRPr="00485C14">
              <w:rPr>
                <w:sz w:val="28"/>
                <w:szCs w:val="28"/>
              </w:rPr>
              <w:t>ана</w:t>
            </w:r>
          </w:p>
          <w:p w:rsidR="001D264E" w:rsidRPr="00485C14" w:rsidRDefault="00501BD7" w:rsidP="00485C14">
            <w:pPr>
              <w:pStyle w:val="ab"/>
              <w:rPr>
                <w:sz w:val="28"/>
                <w:szCs w:val="28"/>
              </w:rPr>
            </w:pPr>
            <w:r w:rsidRPr="00485C14">
              <w:rPr>
                <w:sz w:val="28"/>
                <w:szCs w:val="28"/>
              </w:rPr>
              <w:t xml:space="preserve">№ </w:t>
            </w:r>
            <w:r w:rsidR="00485C14" w:rsidRPr="00485C14">
              <w:rPr>
                <w:sz w:val="28"/>
                <w:szCs w:val="28"/>
                <w:lang w:val="kk-KZ"/>
              </w:rPr>
              <w:t>361</w:t>
            </w:r>
            <w:r w:rsidR="00D374EF" w:rsidRPr="00485C14">
              <w:rPr>
                <w:sz w:val="28"/>
                <w:szCs w:val="28"/>
              </w:rPr>
              <w:t>-</w:t>
            </w:r>
            <w:r w:rsidR="00D374EF" w:rsidRPr="00485C14">
              <w:rPr>
                <w:sz w:val="28"/>
                <w:szCs w:val="28"/>
                <w:lang w:val="kk-KZ"/>
              </w:rPr>
              <w:t>Ө</w:t>
            </w:r>
            <w:r w:rsidRPr="00485C14">
              <w:rPr>
                <w:sz w:val="28"/>
                <w:szCs w:val="28"/>
              </w:rPr>
              <w:t xml:space="preserve"> от </w:t>
            </w:r>
            <w:r w:rsidR="00485C14" w:rsidRPr="00485C14">
              <w:rPr>
                <w:sz w:val="28"/>
                <w:szCs w:val="28"/>
              </w:rPr>
              <w:t>19</w:t>
            </w:r>
            <w:r w:rsidR="006C0641" w:rsidRPr="00485C14">
              <w:rPr>
                <w:sz w:val="28"/>
                <w:szCs w:val="28"/>
              </w:rPr>
              <w:t>.</w:t>
            </w:r>
            <w:r w:rsidR="00873F97" w:rsidRPr="00485C14">
              <w:rPr>
                <w:sz w:val="28"/>
                <w:szCs w:val="28"/>
              </w:rPr>
              <w:t>0</w:t>
            </w:r>
            <w:r w:rsidR="00485C14" w:rsidRPr="00485C14">
              <w:rPr>
                <w:sz w:val="28"/>
                <w:szCs w:val="28"/>
              </w:rPr>
              <w:t>8</w:t>
            </w:r>
            <w:r w:rsidR="00ED1133" w:rsidRPr="00485C14">
              <w:rPr>
                <w:sz w:val="28"/>
                <w:szCs w:val="28"/>
              </w:rPr>
              <w:t>.</w:t>
            </w:r>
            <w:r w:rsidRPr="00485C14">
              <w:rPr>
                <w:sz w:val="28"/>
                <w:szCs w:val="28"/>
              </w:rPr>
              <w:t>20</w:t>
            </w:r>
            <w:r w:rsidR="003A7BB2" w:rsidRPr="00485C14">
              <w:rPr>
                <w:sz w:val="28"/>
                <w:szCs w:val="28"/>
              </w:rPr>
              <w:t>2</w:t>
            </w:r>
            <w:r w:rsidR="003154E0" w:rsidRPr="00485C14">
              <w:rPr>
                <w:sz w:val="28"/>
                <w:szCs w:val="28"/>
              </w:rPr>
              <w:t>4</w:t>
            </w:r>
            <w:r w:rsidRPr="00485C14">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873F97">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76931" w:rsidRDefault="005972BA" w:rsidP="00AC1A6E">
      <w:pPr>
        <w:jc w:val="both"/>
        <w:rPr>
          <w:sz w:val="28"/>
          <w:szCs w:val="28"/>
        </w:rPr>
      </w:pPr>
      <w:r w:rsidRPr="00A76931">
        <w:rPr>
          <w:b/>
          <w:bCs/>
          <w:sz w:val="28"/>
          <w:szCs w:val="28"/>
        </w:rPr>
        <w:t xml:space="preserve">Заказчик: </w:t>
      </w:r>
      <w:r w:rsidR="00A246E7" w:rsidRPr="00A76931">
        <w:rPr>
          <w:color w:val="000000"/>
          <w:sz w:val="28"/>
          <w:szCs w:val="28"/>
        </w:rPr>
        <w:t xml:space="preserve">Государственное коммунальное предприятие </w:t>
      </w:r>
      <w:r w:rsidR="001516A8" w:rsidRPr="00A76931">
        <w:rPr>
          <w:color w:val="000000"/>
          <w:sz w:val="28"/>
          <w:szCs w:val="28"/>
        </w:rPr>
        <w:t xml:space="preserve">на праве хозяйственного ведения </w:t>
      </w:r>
      <w:r w:rsidR="002C5567" w:rsidRPr="00A76931">
        <w:rPr>
          <w:color w:val="000000"/>
          <w:sz w:val="28"/>
          <w:szCs w:val="28"/>
        </w:rPr>
        <w:t xml:space="preserve">«Многопрофильный медицинский центр» акимата </w:t>
      </w:r>
      <w:r w:rsidR="00F94148" w:rsidRPr="00A76931">
        <w:rPr>
          <w:color w:val="000000"/>
          <w:sz w:val="28"/>
          <w:szCs w:val="28"/>
        </w:rPr>
        <w:t>города Астана</w:t>
      </w:r>
      <w:r w:rsidRPr="00A76931">
        <w:rPr>
          <w:bCs/>
          <w:color w:val="000000"/>
          <w:sz w:val="28"/>
          <w:szCs w:val="28"/>
        </w:rPr>
        <w:t xml:space="preserve">, </w:t>
      </w:r>
      <w:r w:rsidR="001516A8" w:rsidRPr="00A76931">
        <w:rPr>
          <w:bCs/>
          <w:color w:val="000000"/>
          <w:sz w:val="28"/>
          <w:szCs w:val="28"/>
        </w:rPr>
        <w:t xml:space="preserve">расположенное по адресу: </w:t>
      </w:r>
      <w:r w:rsidRPr="00A76931">
        <w:rPr>
          <w:sz w:val="28"/>
          <w:szCs w:val="28"/>
        </w:rPr>
        <w:t xml:space="preserve">г. </w:t>
      </w:r>
      <w:r w:rsidR="00917D9E" w:rsidRPr="00A76931">
        <w:rPr>
          <w:sz w:val="28"/>
          <w:szCs w:val="28"/>
        </w:rPr>
        <w:t>Астана</w:t>
      </w:r>
      <w:r w:rsidRPr="00A76931">
        <w:rPr>
          <w:sz w:val="28"/>
          <w:szCs w:val="28"/>
        </w:rPr>
        <w:t xml:space="preserve">, </w:t>
      </w:r>
      <w:r w:rsidR="002C5567" w:rsidRPr="00A76931">
        <w:rPr>
          <w:sz w:val="28"/>
          <w:szCs w:val="28"/>
        </w:rPr>
        <w:t>ул. Манаса, 17</w:t>
      </w:r>
      <w:r w:rsidRPr="00A76931">
        <w:rPr>
          <w:sz w:val="28"/>
          <w:szCs w:val="28"/>
        </w:rPr>
        <w:t>.</w:t>
      </w:r>
    </w:p>
    <w:p w:rsidR="00AA16D8" w:rsidRPr="00A76931" w:rsidRDefault="00EF502A" w:rsidP="00AC1A6E">
      <w:pPr>
        <w:jc w:val="both"/>
        <w:rPr>
          <w:sz w:val="28"/>
          <w:szCs w:val="28"/>
        </w:rPr>
      </w:pPr>
      <w:r w:rsidRPr="00A76931">
        <w:rPr>
          <w:sz w:val="28"/>
          <w:szCs w:val="28"/>
        </w:rPr>
        <w:t xml:space="preserve">Банковские реквизиты: </w:t>
      </w:r>
      <w:r w:rsidR="00AA16D8" w:rsidRPr="00A76931">
        <w:rPr>
          <w:sz w:val="28"/>
          <w:szCs w:val="28"/>
        </w:rPr>
        <w:t xml:space="preserve">БИН </w:t>
      </w:r>
      <w:r w:rsidR="002C5567" w:rsidRPr="00A76931">
        <w:rPr>
          <w:sz w:val="28"/>
          <w:szCs w:val="28"/>
        </w:rPr>
        <w:t>010140002010</w:t>
      </w:r>
      <w:r w:rsidR="006264F0" w:rsidRPr="00A76931">
        <w:rPr>
          <w:sz w:val="28"/>
          <w:szCs w:val="28"/>
        </w:rPr>
        <w:t>,</w:t>
      </w:r>
      <w:r w:rsidR="002C5567" w:rsidRPr="00A76931">
        <w:rPr>
          <w:sz w:val="28"/>
          <w:szCs w:val="28"/>
        </w:rPr>
        <w:t xml:space="preserve"> </w:t>
      </w:r>
      <w:r w:rsidR="00AC1A6E" w:rsidRPr="00A76931">
        <w:rPr>
          <w:sz w:val="28"/>
          <w:szCs w:val="28"/>
        </w:rPr>
        <w:t xml:space="preserve">ИИК </w:t>
      </w:r>
      <w:r w:rsidR="00A76931" w:rsidRPr="00A76931">
        <w:rPr>
          <w:sz w:val="28"/>
          <w:szCs w:val="28"/>
        </w:rPr>
        <w:t>KZ67601A871026837381</w:t>
      </w:r>
      <w:r w:rsidR="006264F0" w:rsidRPr="00A76931">
        <w:rPr>
          <w:sz w:val="28"/>
          <w:szCs w:val="28"/>
        </w:rPr>
        <w:t>,</w:t>
      </w:r>
      <w:r w:rsidR="002C5567" w:rsidRPr="00A76931">
        <w:rPr>
          <w:sz w:val="28"/>
          <w:szCs w:val="28"/>
        </w:rPr>
        <w:t xml:space="preserve"> </w:t>
      </w:r>
      <w:r w:rsidR="00A76931" w:rsidRPr="00A76931">
        <w:rPr>
          <w:sz w:val="28"/>
          <w:szCs w:val="28"/>
        </w:rPr>
        <w:t>АО «Народный Банк Казахстан»</w:t>
      </w:r>
      <w:r w:rsidR="00917D9E" w:rsidRPr="00A76931">
        <w:rPr>
          <w:sz w:val="28"/>
          <w:szCs w:val="28"/>
        </w:rPr>
        <w:t xml:space="preserve"> </w:t>
      </w:r>
      <w:r w:rsidR="00AA16D8" w:rsidRPr="00A76931">
        <w:rPr>
          <w:sz w:val="28"/>
          <w:szCs w:val="28"/>
        </w:rPr>
        <w:t xml:space="preserve">г. </w:t>
      </w:r>
      <w:r w:rsidR="00917D9E" w:rsidRPr="00A76931">
        <w:rPr>
          <w:sz w:val="28"/>
          <w:szCs w:val="28"/>
        </w:rPr>
        <w:t>Астана</w:t>
      </w:r>
      <w:r w:rsidR="006264F0" w:rsidRPr="00A76931">
        <w:rPr>
          <w:sz w:val="28"/>
          <w:szCs w:val="28"/>
        </w:rPr>
        <w:t xml:space="preserve">, БИК </w:t>
      </w:r>
      <w:r w:rsidR="00A76931" w:rsidRPr="00A76931">
        <w:rPr>
          <w:sz w:val="28"/>
          <w:szCs w:val="28"/>
        </w:rPr>
        <w:t>HSBKKZKX</w:t>
      </w:r>
      <w:r w:rsidR="001516A8" w:rsidRPr="00A76931">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A76931" w:rsidRPr="00A76931">
        <w:rPr>
          <w:sz w:val="28"/>
          <w:szCs w:val="28"/>
        </w:rPr>
        <w:t>KZ67601A871026837381</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76931" w:rsidRPr="00A76931">
        <w:rPr>
          <w:sz w:val="28"/>
          <w:szCs w:val="28"/>
        </w:rPr>
        <w:t>АО «Народный Банк Казахстан»</w:t>
      </w:r>
      <w:r w:rsidR="00AC1A6E" w:rsidRPr="00AC1A6E">
        <w:rPr>
          <w:sz w:val="28"/>
          <w:szCs w:val="28"/>
        </w:rPr>
        <w:t xml:space="preserve">" г. Астана, БИК </w:t>
      </w:r>
      <w:r w:rsidR="00A76931" w:rsidRPr="00A76931">
        <w:rPr>
          <w:sz w:val="28"/>
          <w:szCs w:val="28"/>
        </w:rPr>
        <w:t>HSBKKZKX</w:t>
      </w:r>
      <w:r w:rsidR="00AC1A6E" w:rsidRPr="00AC1A6E">
        <w:rPr>
          <w:sz w:val="28"/>
          <w:szCs w:val="28"/>
        </w:rPr>
        <w:t xml:space="preserve">.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1C1914">
        <w:rPr>
          <w:b/>
          <w:sz w:val="28"/>
          <w:szCs w:val="28"/>
          <w:lang w:val="kk-KZ"/>
        </w:rPr>
        <w:t>медицинских изделий</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1"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2"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3" w:name="z241"/>
      <w:bookmarkEnd w:id="2"/>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4" w:name="z242"/>
      <w:bookmarkEnd w:id="3"/>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5" w:name="z243"/>
      <w:bookmarkEnd w:id="4"/>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6" w:name="z244"/>
      <w:bookmarkEnd w:id="5"/>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7" w:name="z245"/>
      <w:bookmarkEnd w:id="6"/>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8" w:name="z246"/>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9" w:name="z247"/>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10" w:name="z248"/>
      <w:bookmarkEnd w:id="9"/>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1" w:name="z249"/>
      <w:bookmarkEnd w:id="10"/>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1"/>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1"/>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2"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3" w:name="z254"/>
      <w:bookmarkEnd w:id="12"/>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3"/>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A76931">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97131E">
        <w:rPr>
          <w:b/>
          <w:sz w:val="28"/>
          <w:szCs w:val="28"/>
        </w:rPr>
        <w:t>09</w:t>
      </w:r>
      <w:r w:rsidRPr="00C24997">
        <w:rPr>
          <w:b/>
          <w:sz w:val="28"/>
          <w:szCs w:val="28"/>
        </w:rPr>
        <w:t xml:space="preserve">» </w:t>
      </w:r>
      <w:r w:rsidR="0097131E">
        <w:rPr>
          <w:b/>
          <w:sz w:val="28"/>
          <w:szCs w:val="28"/>
          <w:lang w:val="kk-KZ"/>
        </w:rPr>
        <w:t>сентября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A76931">
        <w:rPr>
          <w:b/>
          <w:sz w:val="28"/>
          <w:szCs w:val="28"/>
        </w:rPr>
        <w:t>в срок до 11</w:t>
      </w:r>
      <w:r w:rsidR="00DC1F55">
        <w:rPr>
          <w:b/>
          <w:sz w:val="28"/>
          <w:szCs w:val="28"/>
        </w:rPr>
        <w:t xml:space="preserve"> часов 0</w:t>
      </w:r>
      <w:r w:rsidRPr="0007226D">
        <w:rPr>
          <w:b/>
          <w:sz w:val="28"/>
          <w:szCs w:val="28"/>
        </w:rPr>
        <w:t>0 минут «</w:t>
      </w:r>
      <w:r w:rsidR="0097131E">
        <w:rPr>
          <w:b/>
          <w:sz w:val="28"/>
          <w:szCs w:val="28"/>
        </w:rPr>
        <w:t>09</w:t>
      </w:r>
      <w:r w:rsidRPr="0007226D">
        <w:rPr>
          <w:b/>
          <w:sz w:val="28"/>
          <w:szCs w:val="28"/>
        </w:rPr>
        <w:t>»</w:t>
      </w:r>
      <w:r w:rsidRPr="0007226D">
        <w:rPr>
          <w:b/>
          <w:sz w:val="28"/>
          <w:szCs w:val="28"/>
          <w:lang w:val="kk-KZ"/>
        </w:rPr>
        <w:t xml:space="preserve"> </w:t>
      </w:r>
      <w:r w:rsidR="0097131E">
        <w:rPr>
          <w:b/>
          <w:sz w:val="28"/>
          <w:szCs w:val="28"/>
          <w:lang w:val="kk-KZ"/>
        </w:rPr>
        <w:t xml:space="preserve">сентября </w:t>
      </w:r>
      <w:r w:rsidRPr="0007226D">
        <w:rPr>
          <w:b/>
          <w:sz w:val="28"/>
          <w:szCs w:val="28"/>
          <w:lang w:val="kk-KZ"/>
        </w:rPr>
        <w:t>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w:t>
      </w:r>
      <w:r w:rsidRPr="0007226D">
        <w:rPr>
          <w:sz w:val="28"/>
          <w:szCs w:val="28"/>
        </w:rPr>
        <w:lastRenderedPageBreak/>
        <w:t>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A76931" w:rsidRPr="00A76931">
        <w:rPr>
          <w:sz w:val="28"/>
          <w:szCs w:val="28"/>
        </w:rPr>
        <w:t>БИН 010140002010, ИИК KZ67601A871026837381, АО «Народный Банк Казахстан» г. Астана, БИК HSBKKZKX.</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00A76931">
        <w:rPr>
          <w:b/>
          <w:sz w:val="28"/>
          <w:szCs w:val="28"/>
        </w:rPr>
        <w:t>1</w:t>
      </w:r>
      <w:r>
        <w:rPr>
          <w:b/>
          <w:sz w:val="28"/>
          <w:szCs w:val="28"/>
        </w:rPr>
        <w:t xml:space="preserve"> часов </w:t>
      </w:r>
      <w:r w:rsidRPr="00DF738B">
        <w:rPr>
          <w:b/>
          <w:sz w:val="28"/>
          <w:szCs w:val="28"/>
        </w:rPr>
        <w:t>0</w:t>
      </w:r>
      <w:r w:rsidRPr="00C24997">
        <w:rPr>
          <w:b/>
          <w:sz w:val="28"/>
          <w:szCs w:val="28"/>
        </w:rPr>
        <w:t>0 минут «</w:t>
      </w:r>
      <w:r w:rsidR="0097131E">
        <w:rPr>
          <w:b/>
          <w:sz w:val="28"/>
          <w:szCs w:val="28"/>
        </w:rPr>
        <w:t>09</w:t>
      </w:r>
      <w:r w:rsidRPr="00C24997">
        <w:rPr>
          <w:b/>
          <w:sz w:val="28"/>
          <w:szCs w:val="28"/>
        </w:rPr>
        <w:t xml:space="preserve">» </w:t>
      </w:r>
      <w:r w:rsidR="0097131E">
        <w:rPr>
          <w:b/>
          <w:sz w:val="28"/>
          <w:szCs w:val="28"/>
          <w:lang w:val="kk-KZ"/>
        </w:rPr>
        <w:t xml:space="preserve">сентября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008C1B3F">
        <w:rPr>
          <w:b/>
          <w:sz w:val="28"/>
          <w:szCs w:val="28"/>
        </w:rPr>
        <w:t>0</w:t>
      </w:r>
      <w:r w:rsidRPr="00C24997">
        <w:rPr>
          <w:b/>
          <w:sz w:val="28"/>
          <w:szCs w:val="28"/>
        </w:rPr>
        <w:t xml:space="preserve"> часов 00 минут «</w:t>
      </w:r>
      <w:r w:rsidR="0097131E">
        <w:rPr>
          <w:b/>
          <w:sz w:val="28"/>
          <w:szCs w:val="28"/>
        </w:rPr>
        <w:t>09</w:t>
      </w:r>
      <w:r w:rsidRPr="00C24997">
        <w:rPr>
          <w:b/>
          <w:sz w:val="28"/>
          <w:szCs w:val="28"/>
        </w:rPr>
        <w:t xml:space="preserve">» </w:t>
      </w:r>
      <w:r w:rsidR="0097131E">
        <w:rPr>
          <w:b/>
          <w:sz w:val="28"/>
          <w:szCs w:val="28"/>
          <w:lang w:val="kk-KZ"/>
        </w:rPr>
        <w:t xml:space="preserve">сентября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lastRenderedPageBreak/>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w:t>
      </w:r>
      <w:r w:rsidRPr="00C24997">
        <w:rPr>
          <w:sz w:val="28"/>
          <w:szCs w:val="28"/>
        </w:rPr>
        <w:lastRenderedPageBreak/>
        <w:t>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97131E" w:rsidRDefault="0090575D" w:rsidP="0097131E">
      <w:pPr>
        <w:pStyle w:val="3"/>
      </w:pPr>
      <w:r>
        <w:tab/>
      </w:r>
      <w:r>
        <w:tab/>
      </w:r>
      <w:r>
        <w:tab/>
      </w:r>
      <w:r>
        <w:tab/>
      </w:r>
      <w:r>
        <w:tab/>
      </w:r>
      <w:r>
        <w:tab/>
      </w:r>
      <w:r>
        <w:tab/>
      </w:r>
    </w:p>
    <w:p w:rsidR="0097131E" w:rsidRDefault="0097131E" w:rsidP="0097131E">
      <w:pPr>
        <w:pStyle w:val="3"/>
      </w:pPr>
    </w:p>
    <w:p w:rsidR="003F1690" w:rsidRPr="00A6120B" w:rsidRDefault="001C1914" w:rsidP="0097131E">
      <w:pPr>
        <w:pStyle w:val="3"/>
        <w:jc w:val="center"/>
      </w:pPr>
      <w:r>
        <w:rPr>
          <w:lang w:val="kk-KZ"/>
        </w:rPr>
        <w:t>Дәрілік заттар мен медициналық бұйымдарды</w:t>
      </w:r>
      <w:r w:rsidR="00DC1F55">
        <w:rPr>
          <w:lang w:val="kk-KZ"/>
        </w:rPr>
        <w:t xml:space="preserve"> </w:t>
      </w:r>
      <w:r w:rsidR="003F1690" w:rsidRPr="00A6120B">
        <w:t>сатып алу бойынша</w:t>
      </w:r>
    </w:p>
    <w:p w:rsidR="00A6120B" w:rsidRDefault="003F1690" w:rsidP="0097131E">
      <w:pPr>
        <w:pStyle w:val="3"/>
        <w:jc w:val="center"/>
      </w:pPr>
      <w:r w:rsidRPr="00A6120B">
        <w:t>202</w:t>
      </w:r>
      <w:r w:rsidR="000F3E89">
        <w:t>4</w:t>
      </w:r>
      <w:r w:rsidRPr="00A6120B">
        <w:t xml:space="preserve"> жылға арналған</w:t>
      </w:r>
    </w:p>
    <w:p w:rsidR="0097131E" w:rsidRPr="0097131E" w:rsidRDefault="0097131E" w:rsidP="0097131E">
      <w:pPr>
        <w:rPr>
          <w:lang w:eastAsia="ru-RU"/>
        </w:rPr>
      </w:pPr>
    </w:p>
    <w:p w:rsidR="00A6120B" w:rsidRPr="00A6120B" w:rsidRDefault="00A6120B" w:rsidP="00A6120B">
      <w:pPr>
        <w:pStyle w:val="3"/>
        <w:jc w:val="center"/>
      </w:pPr>
      <w:r w:rsidRPr="00A6120B">
        <w:t>ТЕНДЕРЛІК ҚҰЖАТТАМА</w:t>
      </w: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97131E" w:rsidRDefault="003F1690" w:rsidP="003F1690">
      <w:pPr>
        <w:pStyle w:val="a4"/>
        <w:spacing w:after="0" w:afterAutospacing="0"/>
        <w:rPr>
          <w:sz w:val="28"/>
          <w:szCs w:val="28"/>
          <w:lang w:val="kk-KZ"/>
        </w:rPr>
      </w:pPr>
      <w:r w:rsidRPr="003F1690">
        <w:rPr>
          <w:sz w:val="28"/>
          <w:szCs w:val="28"/>
        </w:rPr>
        <w:t xml:space="preserve">Банктік деректемелері: БСН </w:t>
      </w:r>
      <w:r w:rsidR="0097131E" w:rsidRPr="00A76931">
        <w:rPr>
          <w:sz w:val="28"/>
          <w:szCs w:val="28"/>
        </w:rPr>
        <w:t>010140002010</w:t>
      </w:r>
      <w:r w:rsidR="00A6120B">
        <w:rPr>
          <w:sz w:val="28"/>
          <w:szCs w:val="28"/>
        </w:rPr>
        <w:t xml:space="preserve">, ЖСК </w:t>
      </w:r>
      <w:r w:rsidR="00A76931" w:rsidRPr="00A76931">
        <w:rPr>
          <w:sz w:val="28"/>
          <w:szCs w:val="28"/>
        </w:rPr>
        <w:t>KZ</w:t>
      </w:r>
      <w:r w:rsidR="0097131E" w:rsidRPr="00A76931">
        <w:rPr>
          <w:sz w:val="28"/>
          <w:szCs w:val="28"/>
        </w:rPr>
        <w:t>67601A871026837381</w:t>
      </w:r>
      <w:r w:rsidR="00A6120B">
        <w:rPr>
          <w:sz w:val="28"/>
          <w:szCs w:val="28"/>
        </w:rPr>
        <w:t>, "</w:t>
      </w:r>
      <w:r w:rsidR="00865269" w:rsidRPr="00865269">
        <w:rPr>
          <w:sz w:val="28"/>
          <w:szCs w:val="28"/>
        </w:rPr>
        <w:t xml:space="preserve"> </w:t>
      </w:r>
      <w:r w:rsidR="0097131E">
        <w:rPr>
          <w:sz w:val="28"/>
          <w:szCs w:val="28"/>
          <w:lang w:val="kk-KZ"/>
        </w:rPr>
        <w:t>Халық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97131E" w:rsidRPr="00A76931">
        <w:rPr>
          <w:sz w:val="28"/>
          <w:szCs w:val="28"/>
        </w:rPr>
        <w:t>HSBKKZKX</w:t>
      </w:r>
      <w:r w:rsidRPr="003F1690">
        <w:rPr>
          <w:sz w:val="28"/>
          <w:szCs w:val="28"/>
        </w:rPr>
        <w:t>.</w:t>
      </w:r>
      <w:r w:rsidR="0097131E">
        <w:rPr>
          <w:sz w:val="28"/>
          <w:szCs w:val="28"/>
          <w:lang w:val="kk-KZ"/>
        </w:rPr>
        <w:t xml:space="preserve"> </w:t>
      </w:r>
    </w:p>
    <w:p w:rsidR="003F1690" w:rsidRPr="0097131E" w:rsidRDefault="00917D9E" w:rsidP="003F1690">
      <w:pPr>
        <w:pStyle w:val="a4"/>
        <w:spacing w:after="0" w:afterAutospacing="0"/>
        <w:rPr>
          <w:sz w:val="28"/>
          <w:szCs w:val="28"/>
          <w:lang w:val="kk-KZ"/>
        </w:rPr>
      </w:pPr>
      <w:r w:rsidRPr="0097131E">
        <w:rPr>
          <w:sz w:val="28"/>
          <w:szCs w:val="28"/>
          <w:lang w:val="kk-KZ"/>
        </w:rPr>
        <w:t xml:space="preserve">Сатып алуды ұйымдастырушы: </w:t>
      </w:r>
      <w:r>
        <w:rPr>
          <w:sz w:val="28"/>
          <w:szCs w:val="28"/>
          <w:lang w:val="kk-KZ"/>
        </w:rPr>
        <w:t>Астана</w:t>
      </w:r>
      <w:r w:rsidR="003F1690" w:rsidRPr="0097131E">
        <w:rPr>
          <w:sz w:val="28"/>
          <w:szCs w:val="28"/>
          <w:lang w:val="kk-KZ"/>
        </w:rPr>
        <w:t xml:space="preserve"> қаласы, Манас көшесі, 17 м</w:t>
      </w:r>
      <w:r w:rsidRPr="0097131E">
        <w:rPr>
          <w:sz w:val="28"/>
          <w:szCs w:val="28"/>
          <w:lang w:val="kk-KZ"/>
        </w:rPr>
        <w:t xml:space="preserve">екенжайы бойынша орналасқан </w:t>
      </w:r>
      <w:r>
        <w:rPr>
          <w:sz w:val="28"/>
          <w:szCs w:val="28"/>
          <w:lang w:val="kk-KZ"/>
        </w:rPr>
        <w:t>Астана</w:t>
      </w:r>
      <w:r w:rsidR="003F1690" w:rsidRPr="0097131E">
        <w:rPr>
          <w:sz w:val="28"/>
          <w:szCs w:val="28"/>
          <w:lang w:val="kk-KZ"/>
        </w:rPr>
        <w:t xml:space="preserve"> қаласы әкімдігінің "Көпбейінді медициналық орталық" шаруашылық жүргізу құқығындағы мемлекеттік коммуналдық кәсіпорны.</w:t>
      </w:r>
    </w:p>
    <w:p w:rsidR="0097131E" w:rsidRDefault="003F1690" w:rsidP="003F1690">
      <w:pPr>
        <w:pStyle w:val="a4"/>
        <w:spacing w:after="0" w:afterAutospacing="0"/>
        <w:rPr>
          <w:sz w:val="28"/>
          <w:szCs w:val="28"/>
          <w:lang w:val="kk-KZ"/>
        </w:rPr>
      </w:pPr>
      <w:r w:rsidRPr="0097131E">
        <w:rPr>
          <w:sz w:val="28"/>
          <w:szCs w:val="28"/>
          <w:lang w:val="kk-KZ"/>
        </w:rPr>
        <w:t xml:space="preserve">Банктік деректемелері: </w:t>
      </w:r>
      <w:r w:rsidR="0097131E" w:rsidRPr="0097131E">
        <w:rPr>
          <w:sz w:val="28"/>
          <w:szCs w:val="28"/>
          <w:lang w:val="kk-KZ"/>
        </w:rPr>
        <w:t xml:space="preserve">БСН 010140002010, ЖСК KZ67601A871026837381, " </w:t>
      </w:r>
      <w:r w:rsidR="0097131E">
        <w:rPr>
          <w:sz w:val="28"/>
          <w:szCs w:val="28"/>
          <w:lang w:val="kk-KZ"/>
        </w:rPr>
        <w:t>Халық Банк</w:t>
      </w:r>
      <w:r w:rsidR="0097131E" w:rsidRPr="0097131E">
        <w:rPr>
          <w:sz w:val="28"/>
          <w:szCs w:val="28"/>
          <w:lang w:val="kk-KZ"/>
        </w:rPr>
        <w:t xml:space="preserve"> "АҚ, </w:t>
      </w:r>
      <w:r w:rsidR="0097131E">
        <w:rPr>
          <w:sz w:val="28"/>
          <w:szCs w:val="28"/>
          <w:lang w:val="kk-KZ"/>
        </w:rPr>
        <w:t>Астана</w:t>
      </w:r>
      <w:r w:rsidR="0097131E" w:rsidRPr="0097131E">
        <w:rPr>
          <w:sz w:val="28"/>
          <w:szCs w:val="28"/>
          <w:lang w:val="kk-KZ"/>
        </w:rPr>
        <w:t xml:space="preserve"> Қ., БСК HSBKKZKX</w:t>
      </w:r>
      <w:r w:rsidRPr="0097131E">
        <w:rPr>
          <w:sz w:val="28"/>
          <w:szCs w:val="28"/>
          <w:lang w:val="kk-KZ"/>
        </w:rPr>
        <w:t>.</w:t>
      </w:r>
      <w:r w:rsidR="00A6120B" w:rsidRPr="0097131E">
        <w:rPr>
          <w:sz w:val="28"/>
          <w:szCs w:val="28"/>
          <w:lang w:val="kk-KZ"/>
        </w:rPr>
        <w:t xml:space="preserve"> </w:t>
      </w:r>
    </w:p>
    <w:p w:rsidR="003F1690" w:rsidRPr="00485C14" w:rsidRDefault="003F1690" w:rsidP="003F1690">
      <w:pPr>
        <w:pStyle w:val="a4"/>
        <w:spacing w:after="0" w:afterAutospacing="0"/>
        <w:rPr>
          <w:sz w:val="28"/>
          <w:szCs w:val="28"/>
          <w:lang w:val="kk-KZ"/>
        </w:rPr>
      </w:pPr>
      <w:r w:rsidRPr="00485C14">
        <w:rPr>
          <w:sz w:val="28"/>
          <w:szCs w:val="28"/>
          <w:lang w:val="kk-KZ"/>
        </w:rPr>
        <w:t>Тендерлік құжаттама тегін беріледі. 1. Жалпы ережелер</w:t>
      </w:r>
    </w:p>
    <w:p w:rsidR="003F1690" w:rsidRPr="00485C14" w:rsidRDefault="00A51A25" w:rsidP="00865269">
      <w:pPr>
        <w:pStyle w:val="a4"/>
        <w:spacing w:after="0" w:afterAutospacing="0"/>
        <w:jc w:val="both"/>
        <w:rPr>
          <w:sz w:val="28"/>
          <w:szCs w:val="28"/>
          <w:lang w:val="kk-KZ"/>
        </w:rPr>
      </w:pPr>
      <w:r w:rsidRPr="00485C14">
        <w:rPr>
          <w:sz w:val="28"/>
          <w:szCs w:val="28"/>
          <w:lang w:val="kk-KZ"/>
        </w:rPr>
        <w:t xml:space="preserve">1. Тендер </w:t>
      </w:r>
      <w:r w:rsidR="000B206D">
        <w:rPr>
          <w:sz w:val="28"/>
          <w:szCs w:val="28"/>
          <w:lang w:val="kk-KZ"/>
        </w:rPr>
        <w:t>дәрілік заттарды</w:t>
      </w:r>
      <w:r w:rsidR="003F1690" w:rsidRPr="00485C14">
        <w:rPr>
          <w:sz w:val="28"/>
          <w:szCs w:val="28"/>
          <w:lang w:val="kk-KZ"/>
        </w:rPr>
        <w:t xml:space="preserve"> сатып алу бойынша өнім берушіні(лерді)таңдау мақсатында өткізіледі.</w:t>
      </w:r>
    </w:p>
    <w:p w:rsidR="003F1690" w:rsidRPr="00485C14" w:rsidRDefault="003F1690" w:rsidP="00865269">
      <w:pPr>
        <w:jc w:val="both"/>
        <w:rPr>
          <w:sz w:val="28"/>
          <w:szCs w:val="28"/>
          <w:lang w:val="kk-KZ"/>
        </w:rPr>
      </w:pPr>
      <w:r w:rsidRPr="00485C14">
        <w:rPr>
          <w:sz w:val="28"/>
          <w:szCs w:val="28"/>
          <w:lang w:val="kk-KZ"/>
        </w:rPr>
        <w:t xml:space="preserve">2. Тендерге қатысуға ниет білдірген әлеуетті өнім берушілер </w:t>
      </w:r>
      <w:r w:rsidR="00865269" w:rsidRPr="00485C14">
        <w:rPr>
          <w:sz w:val="28"/>
          <w:szCs w:val="28"/>
          <w:lang w:val="kk-KZ"/>
        </w:rPr>
        <w:t>Қазақстан Республикасы Денсаулық сақтау министрінің 2023 жылғы 7 маусымдағы № 110 бұйрығы</w:t>
      </w:r>
      <w:r w:rsidRPr="00485C14">
        <w:rPr>
          <w:sz w:val="28"/>
          <w:szCs w:val="28"/>
          <w:lang w:val="kk-KZ"/>
        </w:rPr>
        <w:t xml:space="preserve"> </w:t>
      </w:r>
      <w:r w:rsidR="00865269" w:rsidRPr="00485C14">
        <w:rPr>
          <w:sz w:val="28"/>
          <w:szCs w:val="28"/>
          <w:lang w:val="kk-KZ"/>
        </w:rPr>
        <w:t xml:space="preserve">«Тегін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w:t>
      </w:r>
      <w:r w:rsidR="00865269">
        <w:rPr>
          <w:sz w:val="28"/>
          <w:szCs w:val="28"/>
          <w:lang w:val="kk-KZ"/>
        </w:rPr>
        <w:t xml:space="preserve">бұйрықта </w:t>
      </w:r>
      <w:r w:rsidRPr="00485C14">
        <w:rPr>
          <w:sz w:val="28"/>
          <w:szCs w:val="28"/>
          <w:lang w:val="kk-KZ"/>
        </w:rPr>
        <w:t>көрсетілген біліктілік талаптарына сәйкес келуге тиіс.</w:t>
      </w:r>
    </w:p>
    <w:p w:rsidR="003F1690" w:rsidRPr="00485C14" w:rsidRDefault="003F1690" w:rsidP="003F1690">
      <w:pPr>
        <w:pStyle w:val="a4"/>
        <w:spacing w:after="0" w:afterAutospacing="0"/>
        <w:rPr>
          <w:sz w:val="28"/>
          <w:szCs w:val="28"/>
          <w:lang w:val="kk-KZ"/>
        </w:rPr>
      </w:pPr>
      <w:r w:rsidRPr="00485C14">
        <w:rPr>
          <w:sz w:val="28"/>
          <w:szCs w:val="28"/>
          <w:lang w:val="kk-KZ"/>
        </w:rPr>
        <w:t>Сатып алуға қатысатын әлеуетті өнім беруші мынадай біліктілік талаптарына сәйкес келуге тиіс:</w:t>
      </w:r>
    </w:p>
    <w:p w:rsidR="003F1690" w:rsidRPr="00485C14" w:rsidRDefault="003F1690" w:rsidP="003F1690">
      <w:pPr>
        <w:pStyle w:val="a4"/>
        <w:spacing w:after="0" w:afterAutospacing="0"/>
        <w:rPr>
          <w:sz w:val="28"/>
          <w:szCs w:val="28"/>
          <w:lang w:val="kk-KZ"/>
        </w:rPr>
      </w:pPr>
      <w:r w:rsidRPr="00485C14">
        <w:rPr>
          <w:sz w:val="28"/>
          <w:szCs w:val="28"/>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485C14" w:rsidRDefault="003F1690" w:rsidP="003F1690">
      <w:pPr>
        <w:pStyle w:val="a4"/>
        <w:spacing w:after="0" w:afterAutospacing="0"/>
        <w:rPr>
          <w:sz w:val="28"/>
          <w:szCs w:val="28"/>
          <w:lang w:val="kk-KZ"/>
        </w:rPr>
      </w:pPr>
      <w:r w:rsidRPr="00485C14">
        <w:rPr>
          <w:sz w:val="28"/>
          <w:szCs w:val="28"/>
          <w:lang w:val="kk-KZ"/>
        </w:rPr>
        <w:lastRenderedPageBreak/>
        <w:t>2) тиісті фармацевтикалық қызметті жүзеге асыруға құқық қабілеттілігі;</w:t>
      </w:r>
    </w:p>
    <w:p w:rsidR="003F1690" w:rsidRPr="00485C14" w:rsidRDefault="003F1690" w:rsidP="003F1690">
      <w:pPr>
        <w:pStyle w:val="a4"/>
        <w:spacing w:after="0" w:afterAutospacing="0"/>
        <w:rPr>
          <w:sz w:val="28"/>
          <w:szCs w:val="28"/>
          <w:lang w:val="kk-KZ"/>
        </w:rPr>
      </w:pPr>
      <w:r w:rsidRPr="00485C14">
        <w:rPr>
          <w:sz w:val="28"/>
          <w:szCs w:val="28"/>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485C14" w:rsidRDefault="003F1690" w:rsidP="003F1690">
      <w:pPr>
        <w:pStyle w:val="a4"/>
        <w:spacing w:after="0" w:afterAutospacing="0"/>
        <w:rPr>
          <w:sz w:val="28"/>
          <w:szCs w:val="28"/>
          <w:lang w:val="kk-KZ"/>
        </w:rPr>
      </w:pPr>
      <w:r w:rsidRPr="00485C14">
        <w:rPr>
          <w:sz w:val="28"/>
          <w:szCs w:val="28"/>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w:t>
      </w:r>
      <w:r w:rsidRPr="003F1690">
        <w:rPr>
          <w:sz w:val="28"/>
          <w:szCs w:val="28"/>
        </w:rPr>
        <w:lastRenderedPageBreak/>
        <w:t>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3337"/>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85C14"/>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C77CA"/>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1B3F"/>
    <w:rsid w:val="008C65C3"/>
    <w:rsid w:val="008C6C9A"/>
    <w:rsid w:val="008C7105"/>
    <w:rsid w:val="008D0BB1"/>
    <w:rsid w:val="008D37AC"/>
    <w:rsid w:val="008F0138"/>
    <w:rsid w:val="008F2587"/>
    <w:rsid w:val="00901310"/>
    <w:rsid w:val="0090575D"/>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131E"/>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76931"/>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578"/>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66861-B826-403A-B5A4-0DC09377C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8102</Words>
  <Characters>46183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54177</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34</cp:revision>
  <cp:lastPrinted>2019-01-24T09:16:00Z</cp:lastPrinted>
  <dcterms:created xsi:type="dcterms:W3CDTF">2023-12-20T12:13:00Z</dcterms:created>
  <dcterms:modified xsi:type="dcterms:W3CDTF">2024-08-21T09:04:00Z</dcterms:modified>
</cp:coreProperties>
</file>